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>
          <w:lang w:val="el-GR"/>
        </w:rPr>
        <w:tab/>
        <w:tab/>
        <w:tab/>
        <w:tab/>
        <w:tab/>
        <w:tab/>
        <w:tab/>
        <w:tab/>
        <w:tab/>
        <w:tab/>
        <w:t xml:space="preserve">                                </w:t>
      </w:r>
      <w:r>
        <w:rPr>
          <w:b/>
          <w:bCs/>
          <w:sz w:val="20"/>
          <w:szCs w:val="20"/>
          <w:lang w:val="el-GR"/>
        </w:rPr>
        <w:t>Π_1.1</w:t>
      </w:r>
    </w:p>
    <w:tbl>
      <w:tblPr>
        <w:tblW w:w="10035" w:type="dxa"/>
        <w:jc w:val="left"/>
        <w:tblInd w:w="20" w:type="dxa"/>
        <w:tblBorders>
          <w:top w:val="double" w:sz="2" w:space="0" w:color="000001"/>
          <w:left w:val="double" w:sz="2" w:space="0" w:color="000001"/>
          <w:bottom w:val="double" w:sz="2" w:space="0" w:color="000001"/>
          <w:right w:val="double" w:sz="2" w:space="0" w:color="000001"/>
          <w:insideH w:val="double" w:sz="2" w:space="0" w:color="000001"/>
          <w:insideV w:val="double" w:sz="2" w:space="0" w:color="000001"/>
        </w:tblBorders>
        <w:tblCellMar>
          <w:top w:w="113" w:type="dxa"/>
          <w:left w:w="9" w:type="dxa"/>
          <w:bottom w:w="113" w:type="dxa"/>
          <w:right w:w="113" w:type="dxa"/>
        </w:tblCellMar>
      </w:tblPr>
      <w:tblGrid>
        <w:gridCol w:w="10035"/>
      </w:tblGrid>
      <w:tr>
        <w:trPr>
          <w:trHeight w:val="1245" w:hRule="atLeast"/>
        </w:trPr>
        <w:tc>
          <w:tcPr>
            <w:tcW w:w="1003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  <w:insideH w:val="double" w:sz="2" w:space="0" w:color="000001"/>
              <w:insideV w:val="double" w:sz="2" w:space="0" w:color="000001"/>
            </w:tcBorders>
            <w:shd w:fill="auto" w:val="clear"/>
            <w:tcMar>
              <w:left w:w="9" w:type="dxa"/>
            </w:tcMar>
          </w:tcPr>
          <w:p>
            <w:pPr>
              <w:pStyle w:val="1"/>
              <w:numPr>
                <w:ilvl w:val="0"/>
                <w:numId w:val="0"/>
              </w:numPr>
              <w:ind w:left="284" w:right="-288" w:hanging="284"/>
              <w:jc w:val="center"/>
              <w:rPr>
                <w:lang w:val="el-GR"/>
              </w:rPr>
            </w:pPr>
            <w:r>
              <w:rPr>
                <w:lang w:val="el-GR"/>
              </w:rPr>
              <w:t>ΠΡΑΚΤΙΚΟ ΔΙΟΙΚΗΤΙΚΟΥ ΕΛΕΓΧΟΥ ΠΡΟΚΑΤΑΒΟΛΗΣ ΟΤΔ</w:t>
            </w:r>
          </w:p>
          <w:p>
            <w:pPr>
              <w:pStyle w:val="1"/>
              <w:numPr>
                <w:ilvl w:val="0"/>
                <w:numId w:val="0"/>
              </w:numPr>
              <w:ind w:left="284" w:right="-288" w:hanging="284"/>
              <w:jc w:val="center"/>
              <w:rPr/>
            </w:pPr>
            <w:r>
              <w:rPr>
                <w:lang w:val="el-GR"/>
              </w:rPr>
              <w:t xml:space="preserve">ΥΠΟΜΕΤΡΟΥ 19.2 </w:t>
            </w:r>
            <w:r>
              <w:rPr>
                <w:sz w:val="20"/>
                <w:szCs w:val="20"/>
                <w:lang w:val="el-GR"/>
              </w:rPr>
              <w:t xml:space="preserve">“Στήριξη υλοποίησης δράσεων των στρατηγικών Τοπικής Ανάπτυξης </w:t>
            </w:r>
            <w:r>
              <w:rPr>
                <w:sz w:val="20"/>
                <w:szCs w:val="20"/>
                <w:lang w:val="en-US"/>
              </w:rPr>
              <w:t>με</w:t>
            </w:r>
            <w:r>
              <w:rPr>
                <w:sz w:val="20"/>
                <w:szCs w:val="20"/>
                <w:lang w:val="el-GR"/>
              </w:rPr>
              <w:t xml:space="preserve"> Πρωτοβουλία Τοπικών Κοινοτήτων </w:t>
            </w:r>
            <w:r>
              <w:rPr>
                <w:sz w:val="20"/>
                <w:szCs w:val="20"/>
                <w:lang w:val="en-US"/>
              </w:rPr>
              <w:t xml:space="preserve">(CLLD/LEADER)” </w:t>
            </w:r>
            <w:r>
              <w:rPr>
                <w:sz w:val="20"/>
                <w:szCs w:val="20"/>
                <w:lang w:val="el-GR"/>
              </w:rPr>
              <w:t>του ΠΑΑ 2014-2020</w:t>
            </w:r>
          </w:p>
        </w:tc>
      </w:tr>
    </w:tbl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/>
      </w:r>
    </w:p>
    <w:p>
      <w:pPr>
        <w:pStyle w:val="Normal"/>
        <w:rPr>
          <w:rFonts w:cs="Times New Roman"/>
          <w:sz w:val="22"/>
          <w:szCs w:val="22"/>
        </w:rPr>
      </w:pPr>
      <w:r>
        <w:rPr/>
        <w:t>Θεσμικό Πλαίσιο ΥΑ:</w:t>
      </w:r>
    </w:p>
    <w:tbl>
      <w:tblPr>
        <w:tblW w:w="10035" w:type="dxa"/>
        <w:jc w:val="left"/>
        <w:tblInd w:w="-87" w:type="dxa"/>
        <w:tblBorders>
          <w:top w:val="single" w:sz="8" w:space="0" w:color="000001"/>
          <w:left w:val="single" w:sz="8" w:space="0" w:color="000001"/>
          <w:bottom w:val="single" w:sz="8" w:space="0" w:color="000001"/>
          <w:insideH w:val="single" w:sz="8" w:space="0" w:color="000001"/>
        </w:tblBorders>
        <w:tblCellMar>
          <w:top w:w="57" w:type="dxa"/>
          <w:left w:w="-10" w:type="dxa"/>
          <w:bottom w:w="57" w:type="dxa"/>
          <w:right w:w="57" w:type="dxa"/>
        </w:tblCellMar>
      </w:tblPr>
      <w:tblGrid>
        <w:gridCol w:w="6120"/>
        <w:gridCol w:w="3914"/>
      </w:tblGrid>
      <w:tr>
        <w:trPr/>
        <w:tc>
          <w:tcPr>
            <w:tcW w:w="61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Συντάκτης:</w:t>
            </w:r>
          </w:p>
        </w:tc>
        <w:tc>
          <w:tcPr>
            <w:tcW w:w="3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>
                <w:rFonts w:cs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/>
                <w:b w:val="false"/>
                <w:bCs w:val="false"/>
                <w:sz w:val="22"/>
                <w:szCs w:val="22"/>
              </w:rPr>
              <w:t>ΕΥΔ ΕΠ Περιφέρειας ......</w:t>
            </w:r>
          </w:p>
          <w:p>
            <w:pPr>
              <w:pStyle w:val="Normal"/>
              <w:rPr>
                <w:rFonts w:cs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/>
                <w:b w:val="false"/>
                <w:bCs w:val="false"/>
                <w:sz w:val="22"/>
                <w:szCs w:val="22"/>
              </w:rPr>
              <w:t>Μονάδα .............</w:t>
            </w:r>
          </w:p>
        </w:tc>
      </w:tr>
      <w:tr>
        <w:trPr/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rFonts w:cs="Times New Roman"/>
                <w:bCs/>
                <w:sz w:val="22"/>
                <w:szCs w:val="22"/>
              </w:rPr>
              <w:t>ΟΤΔ που υποβάλλει το αίτημα</w:t>
            </w:r>
            <w:r>
              <w:rPr>
                <w:rFonts w:cs="Times New Roman"/>
                <w:sz w:val="22"/>
                <w:szCs w:val="22"/>
              </w:rPr>
              <w:t xml:space="preserve"> προκαταβολής</w:t>
            </w:r>
            <w:r>
              <w:rPr>
                <w:rFonts w:cs="Times New Roman"/>
                <w:bCs/>
                <w:sz w:val="22"/>
                <w:szCs w:val="22"/>
              </w:rPr>
              <w:t xml:space="preserve"> Υπομέτρου 19.2 ΠΑΑ 2014-2020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</w:r>
          </w:p>
        </w:tc>
      </w:tr>
      <w:tr>
        <w:trPr/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Α.Φ.Μ. της ΟΤΔ: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Αρ. Πρωτ./ημερομηνία αιτήματος προκαταβολής: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Κωδικός ΣΑΕ: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Ποσό εγκεκριμένου τοπικού προγράμματος για το υπομέτρο 19.2 ΠΑΑ 2014-2020 (ευρώ)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Ύψος αιτούμενης προκαταβολής για το υπομέτρο 19.2 ΠΑΑ 2014-2020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lef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Συνολικό Ποσό πληρωμής παρτίδας €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Αρ. λογ. Τράπεζας της ΟΤΔ για το υπομέτρο 19.2: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Τράπεζα: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</w:tbl>
    <w:p>
      <w:pPr>
        <w:pStyle w:val="Normal"/>
        <w:spacing w:before="227" w:after="113"/>
        <w:jc w:val="left"/>
        <w:rPr>
          <w:rFonts w:ascii="Times New Roman" w:hAnsi="Times New Roman" w:cs="Times New Roman"/>
          <w:b/>
          <w:b/>
          <w:szCs w:val="22"/>
        </w:rPr>
      </w:pPr>
      <w:r>
        <w:rPr>
          <w:rFonts w:cs="Times New Roman" w:ascii="Times New Roman" w:hAnsi="Times New Roman"/>
          <w:b/>
          <w:szCs w:val="22"/>
        </w:rPr>
      </w:r>
    </w:p>
    <w:tbl>
      <w:tblPr>
        <w:tblW w:w="10035" w:type="dxa"/>
        <w:jc w:val="left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-5" w:type="dxa"/>
          <w:bottom w:w="0" w:type="dxa"/>
          <w:right w:w="0" w:type="dxa"/>
        </w:tblCellMar>
      </w:tblPr>
      <w:tblGrid>
        <w:gridCol w:w="8160"/>
        <w:gridCol w:w="915"/>
        <w:gridCol w:w="960"/>
      </w:tblGrid>
      <w:tr>
        <w:trPr/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spacing w:before="227" w:after="113"/>
              <w:jc w:val="left"/>
              <w:rPr>
                <w:rFonts w:ascii="Times New Roman" w:hAnsi="Times New Roman" w:cs="Times New Roman"/>
                <w:b/>
                <w:b/>
                <w:bCs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Cs w:val="22"/>
              </w:rPr>
              <w:t>ΔΙΟΙΚΗΤΙΚΟΣ ΕΛΕΓΧΟΣ ΑΙΤΗΜΑΤΟΣ ΠΡΟΚΑΤΑΒΟΛΗΣ: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Cs w:val="22"/>
              </w:rPr>
              <w:t>ΝΑΙ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Cs w:val="22"/>
              </w:rPr>
              <w:t>ΟΧΙ</w:t>
            </w:r>
          </w:p>
        </w:tc>
      </w:tr>
      <w:tr>
        <w:trPr/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Ύπαρξη αίτησης προκαταβολής της ΟΤΔ ορθά συμπληρωμένης και αρμοδίως υπογεγραμμένης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Το ύψος της αιτούμενης προκαταβολής αντιστοιχεί σε ποσοστό έως 25% του εγκεκριμένου ΤΠ για το υπομέτρο 19.2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Ύπαρξη έγκυρης εγγυητικής επιστολής αορίστου χρόνου προς ΟΠΕΚΕΠΕ ύψους 100%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ind w:left="0" w:right="0" w:hanging="0"/>
              <w:rPr>
                <w:rFonts w:cs="Times New Roman"/>
                <w:color w:val="00000A"/>
                <w:sz w:val="22"/>
                <w:szCs w:val="22"/>
              </w:rPr>
            </w:pPr>
            <w:r>
              <w:rPr>
                <w:rFonts w:cs="Times New Roman"/>
                <w:color w:val="00000A"/>
                <w:sz w:val="22"/>
                <w:szCs w:val="22"/>
              </w:rPr>
              <w:t>Βεβαιώνεται η ορθή καταχώρηση των απαραίτητων πεδίων στο ΟΠΣΑΑ και επισύναψη των απαιτούμενων συνημμένων εγγράφων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Οι πιστώσεις του ΠΔΕ καλύπτουν την παρούσα πληρωμή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591" w:hRule="atLeast"/>
        </w:trPr>
        <w:tc>
          <w:tcPr>
            <w:tcW w:w="100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rFonts w:cs="Times New Roman"/>
                <w:szCs w:val="22"/>
              </w:rPr>
              <w:t>Παρατηρήσεις............................................................................................................................................</w:t>
            </w:r>
          </w:p>
          <w:p>
            <w:pPr>
              <w:pStyle w:val="Normal"/>
              <w:rPr/>
            </w:pPr>
            <w:r>
              <w:rPr>
                <w:rFonts w:cs="Times New Roman"/>
                <w:szCs w:val="22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>
      <w:pPr>
        <w:pStyle w:val="Normal"/>
        <w:spacing w:before="227" w:after="113"/>
        <w:jc w:val="left"/>
        <w:rPr>
          <w:rFonts w:ascii="Times New Roman" w:hAnsi="Times New Roman" w:cs="Times New Roman"/>
          <w:b/>
          <w:b/>
          <w:bCs/>
          <w:strike w:val="false"/>
          <w:dstrike w:val="false"/>
          <w:color w:val="00000A"/>
          <w:szCs w:val="22"/>
        </w:rPr>
      </w:pPr>
      <w:r>
        <w:rPr>
          <w:rFonts w:cs="Times New Roman" w:ascii="Times New Roman" w:hAnsi="Times New Roman"/>
          <w:b/>
          <w:bCs/>
          <w:strike w:val="false"/>
          <w:dstrike w:val="false"/>
          <w:color w:val="00000A"/>
          <w:szCs w:val="22"/>
        </w:rPr>
      </w:r>
    </w:p>
    <w:tbl>
      <w:tblPr>
        <w:tblW w:w="10035" w:type="dxa"/>
        <w:jc w:val="left"/>
        <w:tblInd w:w="1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12" w:type="dxa"/>
          <w:bottom w:w="57" w:type="dxa"/>
          <w:right w:w="57" w:type="dxa"/>
        </w:tblCellMar>
      </w:tblPr>
      <w:tblGrid>
        <w:gridCol w:w="8160"/>
        <w:gridCol w:w="915"/>
        <w:gridCol w:w="960"/>
      </w:tblGrid>
      <w:tr>
        <w:trPr>
          <w:trHeight w:val="390" w:hRule="atLeast"/>
        </w:trPr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rPr>
                <w:rFonts w:cs="Times New Roman"/>
                <w:b/>
                <w:b/>
                <w:bCs/>
                <w:szCs w:val="22"/>
                <w:lang w:val="el-GR"/>
              </w:rPr>
            </w:pPr>
            <w:r>
              <w:rPr>
                <w:rFonts w:cs="Times New Roman"/>
                <w:b/>
                <w:bCs/>
                <w:szCs w:val="22"/>
                <w:lang w:val="el-GR"/>
              </w:rPr>
              <w:t>ΝΟΜΙΜΟΤΗΤΑ ΚΑΙ ΚΑΝΟΝΙΚΟΤΗΤΑ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cs="Times New Roman"/>
                <w:b/>
                <w:bCs/>
                <w:szCs w:val="22"/>
              </w:rPr>
              <w:t>ΝΑΙ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cs="Times New Roman"/>
                <w:b/>
                <w:bCs/>
                <w:szCs w:val="22"/>
              </w:rPr>
              <w:t>ΟΧΙ</w:t>
            </w:r>
          </w:p>
        </w:tc>
      </w:tr>
      <w:tr>
        <w:trPr/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jc w:val="left"/>
              <w:rPr/>
            </w:pPr>
            <w:r>
              <w:rPr>
                <w:rFonts w:cs="Calibri"/>
                <w:sz w:val="22"/>
                <w:szCs w:val="22"/>
              </w:rPr>
              <w:t xml:space="preserve">Βεβαιώνεται η νομιμότητα </w:t>
            </w:r>
            <w:r>
              <w:rPr>
                <w:rFonts w:cs="Calibri"/>
                <w:sz w:val="22"/>
                <w:szCs w:val="22"/>
                <w:lang w:val="el-GR"/>
              </w:rPr>
              <w:t xml:space="preserve">και η κανονικότητα </w:t>
            </w:r>
            <w:r>
              <w:rPr>
                <w:rFonts w:cs="Calibri"/>
                <w:sz w:val="22"/>
                <w:szCs w:val="22"/>
              </w:rPr>
              <w:t xml:space="preserve">της αίτησης προκαταβολής </w:t>
            </w:r>
            <w:r>
              <w:rPr>
                <w:rFonts w:cs="Calibri"/>
                <w:sz w:val="22"/>
                <w:szCs w:val="22"/>
                <w:lang w:val="el-GR"/>
              </w:rPr>
              <w:t>του δικαιούχου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BodyText1"/>
              <w:numPr>
                <w:ilvl w:val="0"/>
                <w:numId w:val="0"/>
              </w:numPr>
              <w:tabs>
                <w:tab w:val="left" w:pos="163" w:leader="none"/>
              </w:tabs>
              <w:overflowPunct w:val="false"/>
              <w:spacing w:lineRule="auto" w:line="288" w:before="0" w:after="0"/>
              <w:ind w:left="0" w:right="0" w:hanging="0"/>
              <w:jc w:val="left"/>
              <w:textAlignment w:val="auto"/>
              <w:rPr/>
            </w:pPr>
            <w:r>
              <w:rPr>
                <w:rFonts w:eastAsia="Liberation Serif;Times New Roman" w:cs="Liberation Serif;Times New Roman" w:ascii="Liberation Serif;Times New Roman" w:hAnsi="Liberation Serif;Times New Roman"/>
                <w:sz w:val="22"/>
                <w:szCs w:val="22"/>
                <w:lang w:val="el-GR"/>
              </w:rPr>
              <w:t xml:space="preserve"> </w:t>
            </w:r>
            <w:r>
              <w:rPr>
                <w:rFonts w:cs="Liberation Serif;Times New Roman" w:ascii="Liberation Serif;Times New Roman" w:hAnsi="Liberation Serif;Times New Roman"/>
                <w:sz w:val="22"/>
                <w:szCs w:val="22"/>
                <w:lang w:val="el-GR"/>
              </w:rPr>
              <w:t>Έχουν ληφθεί υπόψη όλες οι ισχύουσες αποφάσεις, οι εγκύκλιοι εφαρμογής του υπομέτρου  και οι σχετικές διευκρινιστικές οδηγίες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Ο έλεγχος διεξήχθη σύμφωνα με τις ισχύουσες σχετικές εθνικές και ενωσιακές διατάξεις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100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rPr/>
            </w:pPr>
            <w:r>
              <w:rPr>
                <w:rFonts w:cs="Times New Roman"/>
                <w:b/>
                <w:bCs/>
                <w:sz w:val="22"/>
                <w:szCs w:val="22"/>
              </w:rPr>
              <w:t>Παρατηρήσεις:</w:t>
            </w:r>
            <w:r>
              <w:rPr>
                <w:rFonts w:cs="Times New Roman"/>
                <w:sz w:val="22"/>
                <w:szCs w:val="22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>
      <w:pPr>
        <w:pStyle w:val="Normal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</w:r>
    </w:p>
    <w:p>
      <w:pPr>
        <w:pStyle w:val="Normal"/>
        <w:rPr>
          <w:rFonts w:ascii="Times New Roman" w:hAnsi="Times New Roman" w:cs="Times New Roman"/>
          <w:b/>
          <w:b/>
          <w:bCs/>
          <w:sz w:val="24"/>
          <w:szCs w:val="22"/>
          <w:u w:val="single"/>
          <w:lang w:val="el-GR"/>
        </w:rPr>
      </w:pPr>
      <w:r>
        <w:rPr>
          <w:rFonts w:cs="Times New Roman" w:ascii="Times New Roman" w:hAnsi="Times New Roman"/>
          <w:b/>
          <w:bCs/>
          <w:sz w:val="24"/>
          <w:szCs w:val="22"/>
          <w:u w:val="single"/>
          <w:lang w:val="el-GR"/>
        </w:rPr>
      </w:r>
    </w:p>
    <w:tbl>
      <w:tblPr>
        <w:tblW w:w="7479" w:type="dxa"/>
        <w:jc w:val="left"/>
        <w:tblInd w:w="1021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975"/>
        <w:gridCol w:w="3503"/>
      </w:tblGrid>
      <w:tr>
        <w:trPr/>
        <w:tc>
          <w:tcPr>
            <w:tcW w:w="3975" w:type="dxa"/>
            <w:tcBorders/>
            <w:shd w:fill="auto" w:val="clear"/>
          </w:tcPr>
          <w:p>
            <w:pPr>
              <w:pStyle w:val="Style19"/>
              <w:snapToGrid w:val="fals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3503" w:type="dxa"/>
            <w:tcBorders/>
            <w:shd w:fill="auto" w:val="clear"/>
          </w:tcPr>
          <w:p>
            <w:pPr>
              <w:pStyle w:val="Style19"/>
              <w:snapToGrid w:val="fals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</w:tr>
      <w:tr>
        <w:trPr/>
        <w:tc>
          <w:tcPr>
            <w:tcW w:w="3975" w:type="dxa"/>
            <w:tcBorders/>
            <w:shd w:fill="auto" w:val="clear"/>
          </w:tcPr>
          <w:p>
            <w:pPr>
              <w:pStyle w:val="Normal"/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Ημ/νία ……/……/…………</w:t>
            </w:r>
          </w:p>
        </w:tc>
        <w:tc>
          <w:tcPr>
            <w:tcW w:w="3503" w:type="dxa"/>
            <w:tcBorders/>
            <w:shd w:fill="auto" w:val="clear"/>
          </w:tcPr>
          <w:p>
            <w:pPr>
              <w:pStyle w:val="Style19"/>
              <w:snapToGrid w:val="fals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</w:tr>
      <w:tr>
        <w:trPr/>
        <w:tc>
          <w:tcPr>
            <w:tcW w:w="3975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</w:r>
          </w:p>
        </w:tc>
        <w:tc>
          <w:tcPr>
            <w:tcW w:w="3503" w:type="dxa"/>
            <w:tcBorders/>
            <w:shd w:fill="auto" w:val="clear"/>
          </w:tcPr>
          <w:p>
            <w:pPr>
              <w:pStyle w:val="Style19"/>
              <w:snapToGrid w:val="false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3975" w:type="dxa"/>
            <w:tcBorders/>
            <w:shd w:fill="auto" w:val="clear"/>
          </w:tcPr>
          <w:p>
            <w:pPr>
              <w:pStyle w:val="Normal"/>
              <w:jc w:val="center"/>
              <w:rPr>
                <w:rFonts w:cs="Tahoma"/>
                <w:b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Ο ΕΛΕΓΚΤΗΣ</w:t>
            </w:r>
          </w:p>
        </w:tc>
        <w:tc>
          <w:tcPr>
            <w:tcW w:w="3503" w:type="dxa"/>
            <w:tcBorders/>
            <w:shd w:fill="auto" w:val="clear"/>
          </w:tcPr>
          <w:p>
            <w:pPr>
              <w:pStyle w:val="Style19"/>
              <w:jc w:val="center"/>
              <w:rPr/>
            </w:pPr>
            <w:r>
              <w:rPr>
                <w:rFonts w:eastAsia="Liberation Serif;Times New Roman" w:cs="Liberation Serif;Times New Roman"/>
                <w:sz w:val="22"/>
                <w:szCs w:val="22"/>
                <w:lang w:val="en-US"/>
              </w:rPr>
              <w:t xml:space="preserve"> </w:t>
            </w:r>
            <w:r>
              <w:rPr>
                <w:rFonts w:cs="Times New Roman"/>
                <w:b/>
                <w:bCs/>
                <w:sz w:val="22"/>
                <w:szCs w:val="22"/>
                <w:lang w:val="el-GR"/>
              </w:rPr>
              <w:t>Ο ΠΡΟΪΣΤΑΜΕΝΟΣ ΤΗΣ ΜΟΝΑΔΑΣ....</w:t>
            </w:r>
          </w:p>
        </w:tc>
      </w:tr>
      <w:tr>
        <w:trPr/>
        <w:tc>
          <w:tcPr>
            <w:tcW w:w="3975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</w:tc>
        <w:tc>
          <w:tcPr>
            <w:tcW w:w="3503" w:type="dxa"/>
            <w:tcBorders/>
            <w:shd w:fill="auto" w:val="clear"/>
          </w:tcPr>
          <w:p>
            <w:pPr>
              <w:pStyle w:val="Style19"/>
              <w:snapToGrid w:val="false"/>
              <w:rPr>
                <w:rFonts w:cs="Times New Roman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imes New Roman"/>
                <w:b/>
                <w:color w:val="FF0000"/>
                <w:sz w:val="22"/>
                <w:szCs w:val="22"/>
              </w:rPr>
            </w:r>
          </w:p>
        </w:tc>
      </w:tr>
      <w:tr>
        <w:trPr/>
        <w:tc>
          <w:tcPr>
            <w:tcW w:w="3975" w:type="dxa"/>
            <w:tcBorders/>
            <w:shd w:fill="auto" w:val="clear"/>
          </w:tcPr>
          <w:p>
            <w:pPr>
              <w:pStyle w:val="Normal"/>
              <w:jc w:val="center"/>
              <w:rPr>
                <w:rFonts w:cs="Tahoma"/>
                <w:i/>
                <w:i/>
                <w:sz w:val="22"/>
                <w:szCs w:val="22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  <w:tc>
          <w:tcPr>
            <w:tcW w:w="3503" w:type="dxa"/>
            <w:tcBorders/>
            <w:shd w:fill="auto" w:val="clear"/>
          </w:tcPr>
          <w:p>
            <w:pPr>
              <w:pStyle w:val="Normal"/>
              <w:jc w:val="center"/>
              <w:rPr>
                <w:rFonts w:cs="Tahoma"/>
                <w:i/>
                <w:i/>
                <w:sz w:val="22"/>
                <w:szCs w:val="22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lef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left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680" w:top="1170" w:footer="454" w:bottom="1906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Times New Roman">
    <w:charset w:val="a1"/>
    <w:family w:val="roman"/>
    <w:pitch w:val="variable"/>
  </w:font>
  <w:font w:name="Wingdings">
    <w:charset w:val="a1"/>
    <w:family w:val="roman"/>
    <w:pitch w:val="variable"/>
  </w:font>
  <w:font w:name="OpenSymbol">
    <w:altName w:val="Arial Unicode MS"/>
    <w:charset w:val="a1"/>
    <w:family w:val="roman"/>
    <w:pitch w:val="variable"/>
  </w:font>
  <w:font w:name="Symbol">
    <w:charset w:val="a1"/>
    <w:family w:val="roman"/>
    <w:pitch w:val="variable"/>
  </w:font>
  <w:font w:name="Liberation Sans">
    <w:altName w:val="Arial"/>
    <w:charset w:val="a1"/>
    <w:family w:val="roman"/>
    <w:pitch w:val="variable"/>
  </w:font>
  <w:font w:name="HellasArial">
    <w:altName w:val="Courier New"/>
    <w:charset w:val="a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right"/>
      <w:rPr/>
    </w:pPr>
    <w:r>
      <w:rPr>
        <w:sz w:val="20"/>
        <w:szCs w:val="20"/>
        <w:lang w:val="el-GR"/>
      </w:rPr>
      <w:t xml:space="preserve">Σελ. </w:t>
    </w:r>
    <w:r>
      <w:rPr>
        <w:sz w:val="20"/>
        <w:szCs w:val="20"/>
        <w:lang w:val="el-GR"/>
      </w:rPr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  <w:r>
      <w:rPr>
        <w:sz w:val="20"/>
        <w:szCs w:val="20"/>
        <w:lang w:val="el-GR"/>
      </w:rPr>
      <w:t xml:space="preserve"> Από </w:t>
    </w:r>
    <w:r>
      <w:rPr>
        <w:sz w:val="20"/>
        <w:szCs w:val="20"/>
        <w:lang w:val="el-GR"/>
      </w:rPr>
      <w:fldChar w:fldCharType="begin"/>
    </w:r>
    <w:r>
      <w:instrText> NUMPAGES </w:instrText>
    </w:r>
    <w:r>
      <w:fldChar w:fldCharType="separate"/>
    </w:r>
    <w:r>
      <w:t>2</w:t>
    </w:r>
    <w:r>
      <w:fldChar w:fldCharType="end"/>
    </w:r>
    <w:r>
      <w:rPr>
        <w:sz w:val="20"/>
        <w:szCs w:val="20"/>
        <w:lang w:val="el-GR"/>
      </w:rPr>
      <w:drawing>
        <wp:inline distT="0" distB="0" distL="0" distR="0">
          <wp:extent cx="5537200" cy="871855"/>
          <wp:effectExtent l="0" t="0" r="0" b="0"/>
          <wp:docPr id="1" name="Εικόνα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37200" cy="871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l-GR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>
        <w:rFonts w:cs="Liberation Serif;Times New Roman"/>
        <w:sz w:val="14"/>
        <w:szCs w:val="14"/>
      </w:rPr>
      <w:t xml:space="preserve">ΕΚΔΟΣΗ </w:t>
    </w:r>
    <w:r>
      <w:rPr>
        <w:rFonts w:cs="Liberation Serif;Times New Roman"/>
        <w:sz w:val="14"/>
        <w:szCs w:val="14"/>
        <w:lang w:val="en-US"/>
      </w:rPr>
      <w:t>02</w:t>
    </w:r>
    <w:r>
      <w:rPr>
        <w:rFonts w:cs="Liberation Serif;Times New Roman"/>
        <w:sz w:val="14"/>
        <w:szCs w:val="14"/>
      </w:rPr>
      <w:t xml:space="preserve"> - ΕΝΤΥΠΟ </w:t>
    </w:r>
    <w:r>
      <w:rPr>
        <w:rFonts w:cs="Liberation Serif;Times New Roman"/>
        <w:sz w:val="14"/>
        <w:szCs w:val="14"/>
      </w:rPr>
      <w:fldChar w:fldCharType="begin"/>
    </w:r>
    <w:r>
      <w:instrText> FILENAME </w:instrText>
    </w:r>
    <w:r>
      <w:fldChar w:fldCharType="separate"/>
    </w:r>
    <w:r>
      <w:t>Π_1.1_ΠΡΑΚΤΙΚΟ_ΔΙΟΙΚ_ΕΛΕΓΧΟΥ_ΕΥΔΕΠ_ΑΙΤΗΣΗΣ_ΠΡΟΚΑΤΑΒΟΛΗΣ_ΟΤΔ.docx</w:t>
    </w:r>
    <w: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trackRevisions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0"/>
        <w:szCs w:val="24"/>
        <w:lang w:val="el-G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jc w:val="left"/>
    </w:pPr>
    <w:rPr>
      <w:rFonts w:ascii="Liberation Serif;Times New Roman" w:hAnsi="Liberation Serif;Times New Roman" w:eastAsia="SimSun" w:cs="Arial"/>
      <w:color w:val="00000A"/>
      <w:sz w:val="24"/>
      <w:szCs w:val="24"/>
      <w:lang w:val="el-GR" w:eastAsia="zh-CN" w:bidi="hi-IN"/>
    </w:rPr>
  </w:style>
  <w:style w:type="paragraph" w:styleId="1">
    <w:name w:val="Heading 1"/>
    <w:basedOn w:val="Normal"/>
    <w:next w:val="Normal"/>
    <w:qFormat/>
    <w:pPr>
      <w:keepNext/>
      <w:numPr>
        <w:ilvl w:val="0"/>
        <w:numId w:val="1"/>
      </w:numPr>
      <w:outlineLvl w:val="0"/>
      <w:outlineLvl w:val="0"/>
    </w:pPr>
    <w:rPr>
      <w:rFonts w:ascii="Times New Roman" w:hAnsi="Times New Roman" w:cs="Times New Roman"/>
      <w:b/>
      <w:bCs/>
      <w:sz w:val="24"/>
      <w:lang w:val="en-US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Wingdings" w:hAnsi="Wingdings" w:cs="Wingdings"/>
    </w:rPr>
  </w:style>
  <w:style w:type="character" w:styleId="WW8Num2z1">
    <w:name w:val="WW8Num2z1"/>
    <w:qFormat/>
    <w:rPr>
      <w:rFonts w:ascii="OpenSymbol;Arial Unicode MS" w:hAnsi="OpenSymbol;Arial Unicode MS" w:cs="OpenSymbol;Arial Unicode MS"/>
    </w:rPr>
  </w:style>
  <w:style w:type="character" w:styleId="WW8Num2z3">
    <w:name w:val="WW8Num2z3"/>
    <w:qFormat/>
    <w:rPr>
      <w:rFonts w:ascii="Symbol" w:hAnsi="Symbol" w:cs="OpenSymbol;Arial Unicode MS"/>
    </w:rPr>
  </w:style>
  <w:style w:type="character" w:styleId="WW8Num3z0">
    <w:name w:val="WW8Num3z0"/>
    <w:qFormat/>
    <w:rPr>
      <w:rFonts w:ascii="Wingdings" w:hAnsi="Wingdings" w:cs="Wingdings"/>
    </w:rPr>
  </w:style>
  <w:style w:type="character" w:styleId="WW8Num3z1">
    <w:name w:val="WW8Num3z1"/>
    <w:qFormat/>
    <w:rPr>
      <w:rFonts w:ascii="OpenSymbol;Arial Unicode MS" w:hAnsi="OpenSymbol;Arial Unicode MS" w:cs="OpenSymbol;Arial Unicode MS"/>
    </w:rPr>
  </w:style>
  <w:style w:type="character" w:styleId="WW8Num3z3">
    <w:name w:val="WW8Num3z3"/>
    <w:qFormat/>
    <w:rPr>
      <w:rFonts w:ascii="Symbol" w:hAnsi="Symbol" w:cs="OpenSymbol;Arial Unicode MS"/>
    </w:rPr>
  </w:style>
  <w:style w:type="character" w:styleId="Style13">
    <w:name w:val="Κουκκίδες"/>
    <w:qFormat/>
    <w:rPr>
      <w:rFonts w:ascii="OpenSymbol;Arial Unicode MS" w:hAnsi="OpenSymbol;Arial Unicode MS" w:eastAsia="OpenSymbol;Arial Unicode MS" w:cs="OpenSymbol;Arial Unicode MS"/>
    </w:rPr>
  </w:style>
  <w:style w:type="paragraph" w:styleId="Style14">
    <w:name w:val="Επικεφαλίδα"/>
    <w:basedOn w:val="Normal"/>
    <w:next w:val="Style15"/>
    <w:qFormat/>
    <w:pPr>
      <w:keepNext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Ευρετήριο"/>
    <w:basedOn w:val="Normal"/>
    <w:qFormat/>
    <w:pPr>
      <w:suppressLineNumbers/>
    </w:pPr>
    <w:rPr>
      <w:rFonts w:cs="Arial"/>
    </w:rPr>
  </w:style>
  <w:style w:type="paragraph" w:styleId="Style19">
    <w:name w:val="Περιεχόμενα πίνακα"/>
    <w:basedOn w:val="Normal"/>
    <w:qFormat/>
    <w:pPr>
      <w:suppressLineNumbers/>
    </w:pPr>
    <w:rPr/>
  </w:style>
  <w:style w:type="paragraph" w:styleId="Style20">
    <w:name w:val="Επικεφαλίδα πίνακα"/>
    <w:basedOn w:val="Style19"/>
    <w:qFormat/>
    <w:pPr>
      <w:suppressLineNumbers/>
      <w:jc w:val="center"/>
    </w:pPr>
    <w:rPr>
      <w:b/>
      <w:bCs/>
    </w:rPr>
  </w:style>
  <w:style w:type="paragraph" w:styleId="BodyText1">
    <w:name w:val="Body Text 1"/>
    <w:basedOn w:val="Style15"/>
    <w:qFormat/>
    <w:pPr>
      <w:overflowPunct w:val="true"/>
      <w:spacing w:before="0"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styleId="Style21">
    <w:name w:val="Head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22">
    <w:name w:val="Footer"/>
    <w:basedOn w:val="Normal"/>
    <w:pPr/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201</TotalTime>
  <Application>LibreOffice/5.1.3.2$Windows_X86_64 LibreOffice_project/644e4637d1d8544fd9f56425bd6cec110e49301b</Application>
  <Pages>2</Pages>
  <Words>222</Words>
  <Characters>1931</Characters>
  <CharactersWithSpaces>2159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2019-07-04T11:16:47Z</dcterms:created>
  <dc:creator>Μαρία Καφετζηδάκη</dc:creator>
  <dc:description/>
  <dc:language>el-GR</dc:language>
  <cp:lastModifiedBy>Μαρία Καφετζηδάκη</cp:lastModifiedBy>
  <dcterms:modified xsi:type="dcterms:W3CDTF">2020-02-17T10:36:49Z</dcterms:modified>
  <cp:revision>53</cp:revision>
  <dc:subject/>
  <dc:title/>
</cp:coreProperties>
</file>